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316"/>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after="240" w:before="120" w:lineRule="auto"/>
              <w:jc w:val="center"/>
              <w:rPr>
                <w:b w:val="1"/>
                <w:i w:val="1"/>
              </w:rPr>
            </w:pPr>
            <w:r w:rsidDel="00000000" w:rsidR="00000000" w:rsidRPr="00000000">
              <w:rPr>
                <w:b w:val="1"/>
                <w:rtl w:val="0"/>
              </w:rPr>
              <w:t xml:space="preserve">OGGETTO: </w:t>
            </w:r>
            <w:r w:rsidDel="00000000" w:rsidR="00000000" w:rsidRPr="00000000">
              <w:rPr>
                <w:b w:val="1"/>
                <w:i w:val="1"/>
                <w:rtl w:val="0"/>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w:t>
            </w:r>
            <w:r w:rsidDel="00000000" w:rsidR="00000000" w:rsidRPr="00000000">
              <w:rPr>
                <w:b w:val="1"/>
                <w:rtl w:val="0"/>
              </w:rPr>
              <w:t xml:space="preserve">“</w:t>
            </w:r>
            <w:r w:rsidDel="00000000" w:rsidR="00000000" w:rsidRPr="00000000">
              <w:rPr>
                <w:b w:val="1"/>
                <w:i w:val="1"/>
                <w:rtl w:val="0"/>
              </w:rPr>
              <w:t xml:space="preserve">Formazione del personale scolastico per la transizione digitale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4">
            <w:pPr>
              <w:spacing w:before="120" w:line="240" w:lineRule="auto"/>
              <w:ind w:left="284" w:right="28" w:firstLine="0"/>
              <w:jc w:val="center"/>
              <w:rPr>
                <w:b w:val="1"/>
              </w:rPr>
            </w:pPr>
            <w:r w:rsidDel="00000000" w:rsidR="00000000" w:rsidRPr="00000000">
              <w:rPr>
                <w:b w:val="1"/>
                <w:rtl w:val="0"/>
              </w:rPr>
              <w:t xml:space="preserve">Formazione del personale scolastico per la transizione digitale</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(D.M. n. 66/2023)</w:t>
            </w:r>
          </w:p>
          <w:p w:rsidR="00000000" w:rsidDel="00000000" w:rsidP="00000000" w:rsidRDefault="00000000" w:rsidRPr="00000000" w14:paraId="00000006">
            <w:pPr>
              <w:spacing w:after="144" w:before="144" w:lineRule="auto"/>
              <w:jc w:val="center"/>
              <w:rPr>
                <w:b w:val="1"/>
                <w:u w:val="single"/>
              </w:rPr>
            </w:pPr>
            <w:r w:rsidDel="00000000" w:rsidR="00000000" w:rsidRPr="00000000">
              <w:rPr>
                <w:b w:val="1"/>
                <w:u w:val="single"/>
                <w:rtl w:val="0"/>
              </w:rPr>
              <w:t xml:space="preserve">DICHIARAZIONE DI INESISTENZA DI CAUSE DI INCOMPATIBILITA’, DI CONFLITTO DI INTERESSI E DI ASTENSIONE</w:t>
            </w:r>
          </w:p>
          <w:p w:rsidR="00000000" w:rsidDel="00000000" w:rsidP="00000000" w:rsidRDefault="00000000" w:rsidRPr="00000000" w14:paraId="00000007">
            <w:pPr>
              <w:spacing w:after="144" w:before="144" w:lineRule="auto"/>
              <w:jc w:val="center"/>
              <w:rPr>
                <w:b w:val="1"/>
                <w:u w:val="single"/>
              </w:rPr>
            </w:pPr>
            <w:r w:rsidDel="00000000" w:rsidR="00000000" w:rsidRPr="00000000">
              <w:rPr>
                <w:b w:val="1"/>
                <w:u w:val="single"/>
                <w:rtl w:val="0"/>
              </w:rPr>
              <w:t xml:space="preserve">Docente membro interno comunità di pratiche</w:t>
            </w:r>
          </w:p>
          <w:p w:rsidR="00000000" w:rsidDel="00000000" w:rsidP="00000000" w:rsidRDefault="00000000" w:rsidRPr="00000000" w14:paraId="00000008">
            <w:pPr>
              <w:spacing w:after="0" w:before="120" w:lineRule="auto"/>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9">
            <w:pPr>
              <w:spacing w:after="120" w:before="0" w:lineRule="auto"/>
              <w:jc w:val="center"/>
              <w:rPr>
                <w:b w:val="1"/>
              </w:rPr>
            </w:pPr>
            <w:r w:rsidDel="00000000" w:rsidR="00000000" w:rsidRPr="00000000">
              <w:rPr>
                <w:rtl w:val="0"/>
              </w:rPr>
            </w:r>
          </w:p>
        </w:tc>
      </w:tr>
    </w:tbl>
    <w:p w:rsidR="00000000" w:rsidDel="00000000" w:rsidP="00000000" w:rsidRDefault="00000000" w:rsidRPr="00000000" w14:paraId="0000000A">
      <w:pPr>
        <w:spacing w:after="160" w:line="25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160" w:line="25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240" w:before="120" w:lineRule="auto"/>
        <w:jc w:val="both"/>
        <w:rPr/>
      </w:pPr>
      <w:r w:rsidDel="00000000" w:rsidR="00000000" w:rsidRPr="00000000">
        <w:rPr>
          <w:rtl w:val="0"/>
        </w:rPr>
        <w:t xml:space="preserve">Il/La sottoscritto/a [</w:t>
      </w:r>
      <w:r w:rsidDel="00000000" w:rsidR="00000000" w:rsidRPr="00000000">
        <w:rPr>
          <w:highlight w:val="green"/>
          <w:rtl w:val="0"/>
        </w:rPr>
        <w:t xml:space="preserve">…</w:t>
      </w:r>
      <w:r w:rsidDel="00000000" w:rsidR="00000000" w:rsidRPr="00000000">
        <w:rPr>
          <w:rtl w:val="0"/>
        </w:rPr>
        <w:t xml:space="preserve">] nato/a a [</w:t>
      </w:r>
      <w:r w:rsidDel="00000000" w:rsidR="00000000" w:rsidRPr="00000000">
        <w:rPr>
          <w:highlight w:val="green"/>
          <w:rtl w:val="0"/>
        </w:rPr>
        <w:t xml:space="preserve">…</w:t>
      </w:r>
      <w:r w:rsidDel="00000000" w:rsidR="00000000" w:rsidRPr="00000000">
        <w:rPr>
          <w:rtl w:val="0"/>
        </w:rPr>
        <w:t xml:space="preserve">], in data [</w:t>
      </w:r>
      <w:r w:rsidDel="00000000" w:rsidR="00000000" w:rsidRPr="00000000">
        <w:rPr>
          <w:highlight w:val="green"/>
          <w:rtl w:val="0"/>
        </w:rPr>
        <w:t xml:space="preserve">…</w:t>
      </w:r>
      <w:r w:rsidDel="00000000" w:rsidR="00000000" w:rsidRPr="00000000">
        <w:rPr>
          <w:rtl w:val="0"/>
        </w:rPr>
        <w:t xml:space="preserve">], C.F. [</w:t>
      </w:r>
      <w:r w:rsidDel="00000000" w:rsidR="00000000" w:rsidRPr="00000000">
        <w:rPr>
          <w:highlight w:val="green"/>
          <w:rtl w:val="0"/>
        </w:rPr>
        <w:t xml:space="preserve">…</w:t>
      </w:r>
      <w:r w:rsidDel="00000000" w:rsidR="00000000" w:rsidRPr="00000000">
        <w:rPr>
          <w:rtl w:val="0"/>
        </w:rPr>
        <w:t xml:space="preserve">], in servizio presso codesta Istituzione scolastica, con la qualifica di docente interno all'Istituto</w:t>
      </w:r>
      <w:r w:rsidDel="00000000" w:rsidR="00000000" w:rsidRPr="00000000">
        <w:rPr>
          <w:rtl w:val="0"/>
        </w:rPr>
        <w:t xml:space="preserve"> in relazione all’incarico di membro della Comunità di Pratiche  per l’apprendimento, con il compito di promuovere la ricerca, la produzione, la  condivisione, lo scambio dei contenuti didattici digitali, delle strategie, delle metodologie e delle  pratiche innovative di transizione digitale all’interno della scuola, sia di tipo didattico (docenti)  che organizzativo-amministrativo (dirigenti, DSGA, personale ATA), l’apprendimento fra pari  (peer learning), lo sviluppo professionale continuo, l’aggiornamento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 , per una durata, a decorre dall’atto di individuazione, in funzione delle esigenze operative dell’Istituzione scolastica e comunque fino al termine della realizzazione dell’investimento previsto per il 30/09/2025</w:t>
      </w:r>
      <w:r w:rsidDel="00000000" w:rsidR="00000000" w:rsidRPr="00000000">
        <w:rPr>
          <w:rtl w:val="0"/>
        </w:rPr>
      </w:r>
    </w:p>
    <w:p w:rsidR="00000000" w:rsidDel="00000000" w:rsidP="00000000" w:rsidRDefault="00000000" w:rsidRPr="00000000" w14:paraId="0000000D">
      <w:pPr>
        <w:tabs>
          <w:tab w:val="center" w:leader="none" w:pos="1134"/>
        </w:tabs>
        <w:spacing w:after="360" w:before="120" w:lineRule="auto"/>
        <w:ind w:right="567"/>
        <w:jc w:val="center"/>
        <w:rPr/>
      </w:pPr>
      <w:r w:rsidDel="00000000" w:rsidR="00000000" w:rsidRPr="00000000">
        <w:rPr>
          <w:rtl w:val="0"/>
        </w:rPr>
        <w:t xml:space="preserve">***</w:t>
      </w:r>
    </w:p>
    <w:p w:rsidR="00000000" w:rsidDel="00000000" w:rsidP="00000000" w:rsidRDefault="00000000" w:rsidRPr="00000000" w14:paraId="0000000E">
      <w:pPr>
        <w:tabs>
          <w:tab w:val="center" w:leader="none" w:pos="1134"/>
        </w:tabs>
        <w:spacing w:after="120" w:line="240" w:lineRule="auto"/>
        <w:ind w:right="567"/>
        <w:jc w:val="both"/>
        <w:rPr/>
      </w:pPr>
      <w:r w:rsidDel="00000000" w:rsidR="00000000" w:rsidRPr="00000000">
        <w:rPr>
          <w:b w:val="1"/>
          <w:rtl w:val="0"/>
        </w:rPr>
        <w:t xml:space="preserve">VISTA </w:t>
      </w:r>
      <w:r w:rsidDel="00000000" w:rsidR="00000000" w:rsidRPr="00000000">
        <w:rPr>
          <w:rtl w:val="0"/>
        </w:rPr>
        <w:t xml:space="preserve">la legge 7 agosto 1990, n. 241, recante «</w:t>
      </w:r>
      <w:r w:rsidDel="00000000" w:rsidR="00000000" w:rsidRPr="00000000">
        <w:rPr>
          <w:i w:val="1"/>
          <w:rtl w:val="0"/>
        </w:rPr>
        <w:t xml:space="preserve">Nuove norme in materia di procedimento amministrativo e di diritto di accesso ai documenti amministrativi</w:t>
      </w:r>
      <w:r w:rsidDel="00000000" w:rsidR="00000000" w:rsidRPr="00000000">
        <w:rPr>
          <w:rtl w:val="0"/>
        </w:rPr>
        <w:t xml:space="preserve">»;</w:t>
      </w:r>
    </w:p>
    <w:p w:rsidR="00000000" w:rsidDel="00000000" w:rsidP="00000000" w:rsidRDefault="00000000" w:rsidRPr="00000000" w14:paraId="0000000F">
      <w:pPr>
        <w:tabs>
          <w:tab w:val="center" w:leader="none" w:pos="1134"/>
        </w:tabs>
        <w:spacing w:after="120" w:line="240" w:lineRule="auto"/>
        <w:ind w:right="567"/>
        <w:jc w:val="both"/>
        <w:rPr/>
      </w:pPr>
      <w:r w:rsidDel="00000000" w:rsidR="00000000" w:rsidRPr="00000000">
        <w:rPr>
          <w:b w:val="1"/>
          <w:rtl w:val="0"/>
        </w:rPr>
        <w:t xml:space="preserve">VISTI</w:t>
      </w:r>
      <w:r w:rsidDel="00000000" w:rsidR="00000000" w:rsidRPr="00000000">
        <w:rPr>
          <w:rtl w:val="0"/>
        </w:rPr>
        <w:t xml:space="preserve"> in particolare, gli articoli 5 e 6-</w:t>
      </w:r>
      <w:r w:rsidDel="00000000" w:rsidR="00000000" w:rsidRPr="00000000">
        <w:rPr>
          <w:i w:val="1"/>
          <w:rtl w:val="0"/>
        </w:rPr>
        <w:t xml:space="preserve">bis </w:t>
      </w:r>
      <w:r w:rsidDel="00000000" w:rsidR="00000000" w:rsidRPr="00000000">
        <w:rPr>
          <w:rtl w:val="0"/>
        </w:rPr>
        <w:t xml:space="preserve">della predetta legge;</w:t>
      </w:r>
    </w:p>
    <w:p w:rsidR="00000000" w:rsidDel="00000000" w:rsidP="00000000" w:rsidRDefault="00000000" w:rsidRPr="00000000" w14:paraId="00000010">
      <w:pPr>
        <w:tabs>
          <w:tab w:val="center" w:leader="none" w:pos="1134"/>
        </w:tabs>
        <w:spacing w:after="120" w:line="240" w:lineRule="auto"/>
        <w:ind w:right="567"/>
        <w:jc w:val="both"/>
        <w:rPr/>
      </w:pPr>
      <w:bookmarkStart w:colFirst="0" w:colLast="0" w:name="_30j0zll" w:id="1"/>
      <w:bookmarkEnd w:id="1"/>
      <w:r w:rsidDel="00000000" w:rsidR="00000000" w:rsidRPr="00000000">
        <w:rPr>
          <w:b w:val="1"/>
          <w:rtl w:val="0"/>
        </w:rPr>
        <w:t xml:space="preserve">VISTO </w:t>
      </w:r>
      <w:r w:rsidDel="00000000" w:rsidR="00000000" w:rsidRPr="00000000">
        <w:rPr>
          <w:rtl w:val="0"/>
        </w:rPr>
        <w:t xml:space="preserve">il decreto legislativo 30 marzo 2001, n. 165, recante «</w:t>
      </w:r>
      <w:r w:rsidDel="00000000" w:rsidR="00000000" w:rsidRPr="00000000">
        <w:rPr>
          <w:i w:val="1"/>
          <w:rtl w:val="0"/>
        </w:rPr>
        <w:t xml:space="preserve">Norme generali sull’ordinamento del lavoro alle dipendenze delle amministrazioni pubbliche</w:t>
      </w:r>
      <w:r w:rsidDel="00000000" w:rsidR="00000000" w:rsidRPr="00000000">
        <w:rPr>
          <w:rtl w:val="0"/>
        </w:rPr>
        <w:t xml:space="preserve">»;</w:t>
      </w:r>
    </w:p>
    <w:p w:rsidR="00000000" w:rsidDel="00000000" w:rsidP="00000000" w:rsidRDefault="00000000" w:rsidRPr="00000000" w14:paraId="00000011">
      <w:pPr>
        <w:tabs>
          <w:tab w:val="center" w:leader="none" w:pos="1134"/>
        </w:tabs>
        <w:spacing w:after="120" w:line="240" w:lineRule="auto"/>
        <w:ind w:right="567"/>
        <w:jc w:val="both"/>
        <w:rPr>
          <w:b w:val="1"/>
        </w:rPr>
      </w:pPr>
      <w:r w:rsidDel="00000000" w:rsidR="00000000" w:rsidRPr="00000000">
        <w:rPr>
          <w:b w:val="1"/>
          <w:rtl w:val="0"/>
        </w:rPr>
        <w:t xml:space="preserve">VISTO </w:t>
      </w:r>
      <w:r w:rsidDel="00000000" w:rsidR="00000000" w:rsidRPr="00000000">
        <w:rPr>
          <w:rtl w:val="0"/>
        </w:rPr>
        <w:t xml:space="preserve">il decreto legislativo 8 aprile 2013, n. 39, recante «</w:t>
      </w:r>
      <w:r w:rsidDel="00000000" w:rsidR="00000000" w:rsidRPr="00000000">
        <w:rPr>
          <w:i w:val="1"/>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tabs>
          <w:tab w:val="center" w:leader="none" w:pos="1134"/>
        </w:tabs>
        <w:spacing w:after="120" w:line="240" w:lineRule="auto"/>
        <w:ind w:right="567"/>
        <w:jc w:val="both"/>
        <w:rPr/>
      </w:pPr>
      <w:r w:rsidDel="00000000" w:rsidR="00000000" w:rsidRPr="00000000">
        <w:rPr>
          <w:b w:val="1"/>
          <w:rtl w:val="0"/>
        </w:rPr>
        <w:t xml:space="preserve">VISTO</w:t>
      </w:r>
      <w:r w:rsidDel="00000000" w:rsidR="00000000" w:rsidRPr="00000000">
        <w:rPr>
          <w:rtl w:val="0"/>
        </w:rPr>
        <w:t xml:space="preserve"> il Codice di comportamento dei dipendenti del Ministero dell’istruzione, adottato con D.M. del 26 aprile 2022, n. 105;</w:t>
      </w:r>
    </w:p>
    <w:p w:rsidR="00000000" w:rsidDel="00000000" w:rsidP="00000000" w:rsidRDefault="00000000" w:rsidRPr="00000000" w14:paraId="00000013">
      <w:pPr>
        <w:tabs>
          <w:tab w:val="center" w:leader="none" w:pos="1134"/>
        </w:tabs>
        <w:spacing w:after="360" w:line="240" w:lineRule="auto"/>
        <w:ind w:right="567"/>
        <w:jc w:val="both"/>
        <w:rPr/>
      </w:pPr>
      <w:r w:rsidDel="00000000" w:rsidR="00000000" w:rsidRPr="00000000">
        <w:rPr>
          <w:b w:val="1"/>
          <w:rtl w:val="0"/>
        </w:rPr>
        <w:t xml:space="preserve">VISTA</w:t>
      </w:r>
      <w:r w:rsidDel="00000000" w:rsidR="00000000" w:rsidRPr="00000000">
        <w:rPr>
          <w:rtl w:val="0"/>
        </w:rPr>
        <w:t xml:space="preserve"> la legge 6 novembre 2012, n. 190, recante «</w:t>
      </w:r>
      <w:r w:rsidDel="00000000" w:rsidR="00000000" w:rsidRPr="00000000">
        <w:rPr>
          <w:i w:val="1"/>
          <w:rtl w:val="0"/>
        </w:rPr>
        <w:t xml:space="preserve">Disposizioni per la prevenzione e la repressione della corruzione e dell’illegalità nella pubblica amministrazione</w:t>
      </w:r>
      <w:r w:rsidDel="00000000" w:rsidR="00000000" w:rsidRPr="00000000">
        <w:rPr>
          <w:rtl w:val="0"/>
        </w:rPr>
        <w:t xml:space="preserve">»;</w:t>
      </w:r>
    </w:p>
    <w:p w:rsidR="00000000" w:rsidDel="00000000" w:rsidP="00000000" w:rsidRDefault="00000000" w:rsidRPr="00000000" w14:paraId="00000014">
      <w:pPr>
        <w:spacing w:after="120" w:before="120" w:lineRule="auto"/>
        <w:jc w:val="center"/>
        <w:rPr>
          <w:b w:val="1"/>
        </w:rPr>
      </w:pPr>
      <w:r w:rsidDel="00000000" w:rsidR="00000000" w:rsidRPr="00000000">
        <w:rPr>
          <w:rtl w:val="0"/>
        </w:rPr>
      </w:r>
    </w:p>
    <w:p w:rsidR="00000000" w:rsidDel="00000000" w:rsidP="00000000" w:rsidRDefault="00000000" w:rsidRPr="00000000" w14:paraId="00000015">
      <w:pPr>
        <w:spacing w:after="120" w:before="120" w:lineRule="auto"/>
        <w:jc w:val="center"/>
        <w:rPr>
          <w:b w:val="1"/>
        </w:rPr>
      </w:pPr>
      <w:r w:rsidDel="00000000" w:rsidR="00000000" w:rsidRPr="00000000">
        <w:rPr>
          <w:b w:val="1"/>
          <w:rtl w:val="0"/>
        </w:rPr>
        <w:t xml:space="preserve">DICHIARA</w:t>
      </w:r>
    </w:p>
    <w:p w:rsidR="00000000" w:rsidDel="00000000" w:rsidP="00000000" w:rsidRDefault="00000000" w:rsidRPr="00000000" w14:paraId="00000016">
      <w:pPr>
        <w:spacing w:after="120" w:before="120" w:lineRule="auto"/>
        <w:jc w:val="both"/>
        <w:rPr>
          <w:b w:val="1"/>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7">
      <w:pPr>
        <w:spacing w:after="120" w:before="120" w:lineRule="auto"/>
        <w:jc w:val="both"/>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l’assunzione dell’incarico di Responsabile del procedimento:</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4">
      <w:pPr>
        <w:spacing w:after="120" w:before="120" w:line="240" w:lineRule="auto"/>
        <w:jc w:val="both"/>
        <w:rPr>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ab/>
        <w:t xml:space="preserve">IL DICHIARANTE</w:t>
        <w:tab/>
        <w:tab/>
        <w:tab/>
        <w:tab/>
        <w:tab/>
        <w:tab/>
        <w:tab/>
        <w:t xml:space="preserve">         </w:t>
        <w:tab/>
        <w:t xml:space="preserve">              </w:t>
      </w:r>
    </w:p>
    <w:p w:rsidR="00000000" w:rsidDel="00000000" w:rsidP="00000000" w:rsidRDefault="00000000" w:rsidRPr="00000000" w14:paraId="00000027">
      <w:pPr>
        <w:spacing w:after="120" w:before="120" w:lineRule="auto"/>
        <w:ind w:left="4956" w:firstLine="0"/>
        <w:jc w:val="both"/>
        <w:rPr/>
      </w:pPr>
      <w:r w:rsidDel="00000000" w:rsidR="00000000" w:rsidRPr="00000000">
        <w:rPr>
          <w:rtl w:val="0"/>
        </w:rPr>
        <w:t xml:space="preserve">                      ___________________________________</w:t>
      </w:r>
    </w:p>
    <w:p w:rsidR="00000000" w:rsidDel="00000000" w:rsidP="00000000" w:rsidRDefault="00000000" w:rsidRPr="00000000" w14:paraId="00000028">
      <w:pPr>
        <w:spacing w:after="120" w:before="120" w:lineRule="auto"/>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29">
      <w:pPr>
        <w:numPr>
          <w:ilvl w:val="0"/>
          <w:numId w:val="1"/>
        </w:numPr>
        <w:spacing w:after="120" w:before="120" w:line="240" w:lineRule="auto"/>
        <w:ind w:left="360" w:hanging="360"/>
        <w:jc w:val="both"/>
        <w:rPr>
          <w:i w:val="1"/>
        </w:rPr>
      </w:pPr>
      <w:r w:rsidDel="00000000" w:rsidR="00000000" w:rsidRPr="00000000">
        <w:rPr>
          <w:i w:val="1"/>
          <w:rtl w:val="0"/>
        </w:rPr>
        <w:t xml:space="preserve">copia firmata del documento di identità del sottoscrittore, in corso di validità.</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134" w:top="1417"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-153908</wp:posOffset>
          </wp:positionH>
          <wp:positionV relativeFrom="paragraph">
            <wp:posOffset>135802</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widowControl w:val="0"/>
      <w:tabs>
        <w:tab w:val="center" w:leader="none" w:pos="4819"/>
        <w:tab w:val="right" w:leader="none" w:pos="9638"/>
      </w:tabs>
      <w:spacing w:after="0" w:line="288" w:lineRule="auto"/>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1"/>
        <w:sz w:val="20"/>
        <w:szCs w:val="20"/>
        <w:rtl w:val="0"/>
      </w:rPr>
      <w:t xml:space="preserve">Allegato B all’Avviso – Dichiarazione di inesistenza di cause di incompatibilità, di conflitto di interesse e di astensione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