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(D.M. n. 66/2023)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 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Decreto per l’avvio di una procedura per la selezione interna e/o esterna di docenti esperti e tutor mediante  procedura comparativa dei curricula vitae e professionali per la realizzazione del Progetto: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Linea di Investimento – Piano Nazionale di Ripresa e Resilienza – Missione 4: Istruzione e Ricerca - Componente 1  – Potenziamento dell’offerta dei servizi di istruzione: dagli asili nido alle Università Investimento 2.1: Didattica digitale  integrata e formazione alla transizione digitale per il personale scolastico 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Formazione del personale scolastico  per la transizione digitale (D.M. 66/2023)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Codice Avviso:  M4C1I2.1-2023-1222-P-45348 – Formazione del  personale scolastico per la transizione digitale  </w:t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Titolo del Progetto: Progettare e formare per una Scuola innovativa e inclusiva.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C.U.P. : C84D23004320006 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b w:val="1"/>
          <w:sz w:val="22"/>
          <w:szCs w:val="22"/>
          <w:rtl w:val="0"/>
        </w:rPr>
        <w:t xml:space="preserve">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di selezione in oggetto per l’incarico di docente esperto interno/esterno, tutor interno/esterno per i percorsi di formazione attivabili con il DM66/2023 presso IC di Borgo San Giacomo per la/e seguenti professionalità:</w:t>
      </w: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3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5"/>
        <w:gridCol w:w="5400"/>
        <w:gridCol w:w="1396"/>
        <w:gridCol w:w="885"/>
        <w:gridCol w:w="465"/>
        <w:gridCol w:w="1154"/>
        <w:tblGridChange w:id="0">
          <w:tblGrid>
            <w:gridCol w:w="345"/>
            <w:gridCol w:w="5400"/>
            <w:gridCol w:w="1396"/>
            <w:gridCol w:w="885"/>
            <w:gridCol w:w="465"/>
            <w:gridCol w:w="1154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Percorsi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 azioni formative potranno essere svolte in presenza oppure on line (in modalità sincrona) o in modalità ibrida.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Professionalità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disponibilità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 Intelligenza Artificiale e sicurezza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 Tinkering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 gioco e la gamification nella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sullo storytelling nella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sull’utilizzo degli audiovisivi e videomaking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sulle competenze orientative attraverso le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sull’uso delle Smartboard nella didattica inclusiva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Percorso di formazione su Cittadinanza digitale e cybersicurezza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3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5"/>
        <w:gridCol w:w="5430"/>
        <w:gridCol w:w="1350"/>
        <w:gridCol w:w="900"/>
        <w:gridCol w:w="465"/>
        <w:gridCol w:w="1155"/>
        <w:tblGridChange w:id="0">
          <w:tblGrid>
            <w:gridCol w:w="345"/>
            <w:gridCol w:w="5430"/>
            <w:gridCol w:w="1350"/>
            <w:gridCol w:w="900"/>
            <w:gridCol w:w="465"/>
            <w:gridCol w:w="11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Laboratori con incontri in presenza.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Professionalità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Edizioni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disponibilità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personale docente secondaria: utilizzo piattaforma Google Workspace (Drive, Docs, Sheets, Moduli ecc) - Creazione quiz, presentazione e attività con l'uso di app per la didattica.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personale docente primaria: utilizzo piattaforma Google Workspace (Drive, Docs, Sheets, Moduli ecc) - Creazione quiz, presentazioni e attività con l'uso di app per la didattica.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personale ATA: utilizzo piattaforma Google Workspace (Drive, Docs, Sheets, Moduli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sulle STEM in ottica interdisciplinare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sulle competenze orientative attraverso le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STEM: Coding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Laboratorio STEM: Tinkering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n. 1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ind w:right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2"/>
          <w:szCs w:val="22"/>
          <w:rtl w:val="0"/>
        </w:rPr>
        <w:t xml:space="preserve">ai fini dell’attribuzione del punteggio di possedere i seguenti titoli / incarichi / esperienze: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tabs>
          <w:tab w:val="left" w:leader="none" w:pos="426"/>
          <w:tab w:val="left" w:leader="none" w:pos="993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Esperto formatore interno/esterno</w:t>
      </w: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Ind w:w="-3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75"/>
        <w:gridCol w:w="2076"/>
        <w:gridCol w:w="2076"/>
        <w:gridCol w:w="1631"/>
        <w:gridCol w:w="1779"/>
        <w:tblGridChange w:id="0">
          <w:tblGrid>
            <w:gridCol w:w="2075"/>
            <w:gridCol w:w="2076"/>
            <w:gridCol w:w="2076"/>
            <w:gridCol w:w="1631"/>
            <w:gridCol w:w="177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Votazione riportata al termine del corso di laurea magistrale/specialistica inerente il settore specifico dell’Avviso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110 e lode: 20 punti: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 105 a 110: 16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 99 a 104: 12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Dottorato di ricerca in discipline attinenti l'area di riferimento del presente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 punti per il dottorato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Master o Corsi di specializzazione o Corsi di perfezionamento organizzati da Enti accreditati relativi all’area di riferimento della selezione (STEM, didattica digitale, informatica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 punti per ogni Master/corso di specializzazione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Certificazioni riconosciute dal MIM inerenti l'area di riferimento della 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Altri titoli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Partecipazione a corsi di formazione di almeno 20 ore attinenti all’ambito professionale del presente Avviso 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Esperienza professionale*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Esperienza professionale maturata in settori attinenti all’ambito professionale del presente 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Incarichi svolti nell’ambito dell’organizzazione scolastica (Animatore Digitale, Componente team digitale)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40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Esperienza come esperto/tutor nei progetti finanziati dal Fondo Sociale Europeo (PON/POR/PNRR) relativa alle tematiche del presente Avviso.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Esperienza come formatore in percorsi inerenti la transizione digitale nella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tabs>
          <w:tab w:val="left" w:leader="none" w:pos="426"/>
          <w:tab w:val="left" w:leader="none" w:pos="993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Tutor interno/esterno</w:t>
      </w: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Ind w:w="-3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75"/>
        <w:gridCol w:w="2076"/>
        <w:gridCol w:w="2076"/>
        <w:gridCol w:w="1631"/>
        <w:gridCol w:w="1779"/>
        <w:tblGridChange w:id="0">
          <w:tblGrid>
            <w:gridCol w:w="2075"/>
            <w:gridCol w:w="2076"/>
            <w:gridCol w:w="2076"/>
            <w:gridCol w:w="1631"/>
            <w:gridCol w:w="177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Votazione riportata al termine del corso di laurea magistrale/specialistica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110 e lode: 20 punti: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 105 a 110: 16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 99 a 104: 12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Master o Corsi di specializzazione o Corsi di perfezionamento organizzati da Enti accreditati relativi all’area di riferimento della selezione (STEM, didattica digitale, informatica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 punti per ogni Master/corso di specializzazione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Certificazioni riconosciute dal MIM inerenti l'area di riferimento della 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Altri titoli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Partecipazione a corsi di formazione di almeno 20 ore sulle matodologie didatiche 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Esperienza professionale*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Esperienza professionale maturata in settori attinenti all’ambito professionale del presente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Incarichi svolti nell’ambito dell’organizzazione scolastica (Animatore Digitale, Componente team digitale, Collaboratore del DS, Referente di Plesso,Funzione Strumentale, Incarico di Referente Commissioni/Dipartimenti)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50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Esperienza come esperto/tutor nei progetti finanziati dal Fondo Sociale Europeo (PON/POR/PNRR).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Esperienze in progetti/interventi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analoghi a quello oggetto della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selezione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tabs>
          <w:tab w:val="left" w:leader="none" w:pos="426"/>
          <w:tab w:val="left" w:leader="none" w:pos="993"/>
        </w:tabs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9537/2024 del 16/12/2024 e, nello specifico,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spacing w:after="120" w:before="120" w:line="276" w:lineRule="auto"/>
        <w:ind w:left="1058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120" w:before="120" w:line="276" w:lineRule="auto"/>
        <w:ind w:left="1058" w:right="0" w:hanging="36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[la previsione del requisito dipende dalla specificità dell’incarico e dalla conseguente esigenza di ricorrere a soggetti esterni, come indicato nell’art. 7, comma 6, del D.Lgs. n. 165/2001]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leader="none" w:pos="0"/>
          <w:tab w:val="left" w:leader="none" w:pos="142"/>
        </w:tabs>
        <w:spacing w:after="120" w:before="120" w:line="276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Ind w:w="-108.0" w:type="dxa"/>
        <w:tblLayout w:type="fixed"/>
        <w:tblLook w:val="00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widowControl w:val="0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900" cy="63055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00" y="3465000"/>
                        <a:ext cx="7200900" cy="630555"/>
                        <a:chOff x="1745800" y="3465000"/>
                        <a:chExt cx="7200400" cy="630000"/>
                      </a:xfrm>
                    </wpg:grpSpPr>
                    <wpg:grpSp>
                      <wpg:cNvGrpSpPr/>
                      <wpg:grpSpPr>
                        <a:xfrm>
                          <a:off x="1745820" y="3465000"/>
                          <a:ext cx="7200360" cy="630000"/>
                          <a:chOff x="0" y="0"/>
                          <a:chExt cx="720036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720036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cNvPr id="9" name="Shape 9"/>
                          <wps:spPr>
                            <a:xfrm>
                              <a:off x="146160" y="25560"/>
                              <a:ext cx="6804000" cy="72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cap="flat" cmpd="sng" w="2555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900" cy="6305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0" cy="630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8">
    <w:pPr>
      <w:keepNext w:val="0"/>
      <w:keepLines w:val="0"/>
      <w:widowControl w:val="0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widowControl w:val="0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7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Verdana" w:cs="Verdana" w:eastAsia="Verdana" w:hAnsi="Verdan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